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4C" w:rsidRPr="00797AD8" w:rsidRDefault="00797AD8" w:rsidP="000315A1">
      <w:pPr>
        <w:pStyle w:val="heading"/>
        <w:spacing w:before="240"/>
        <w:jc w:val="left"/>
        <w:rPr>
          <w:sz w:val="18"/>
          <w:szCs w:val="18"/>
        </w:rPr>
      </w:pP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="0059654C" w:rsidRPr="00797AD8">
        <w:rPr>
          <w:sz w:val="18"/>
          <w:szCs w:val="18"/>
          <w:lang w:val="en-CA"/>
        </w:rPr>
        <w:t xml:space="preserve">Form </w:t>
      </w:r>
      <w:r w:rsidR="000315A1">
        <w:rPr>
          <w:sz w:val="18"/>
          <w:szCs w:val="18"/>
          <w:lang w:val="en-CA"/>
        </w:rPr>
        <w:t>27</w:t>
      </w:r>
      <w:r w:rsidR="0059654C" w:rsidRPr="00797AD8">
        <w:rPr>
          <w:sz w:val="18"/>
          <w:szCs w:val="18"/>
          <w:lang w:val="en-CA"/>
        </w:rPr>
        <w:br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="0059654C" w:rsidRPr="00797AD8">
        <w:rPr>
          <w:b w:val="0"/>
          <w:bCs w:val="0"/>
          <w:sz w:val="18"/>
          <w:szCs w:val="18"/>
          <w:lang w:val="en-CA"/>
        </w:rPr>
        <w:t xml:space="preserve">Rule </w:t>
      </w:r>
      <w:r w:rsidR="000315A1">
        <w:rPr>
          <w:b w:val="0"/>
          <w:bCs w:val="0"/>
          <w:sz w:val="18"/>
          <w:szCs w:val="18"/>
          <w:lang w:val="en-CA"/>
        </w:rPr>
        <w:t>6.</w:t>
      </w:r>
      <w:r w:rsidR="0059654C" w:rsidRPr="00797AD8">
        <w:rPr>
          <w:b w:val="0"/>
          <w:bCs w:val="0"/>
          <w:sz w:val="18"/>
          <w:szCs w:val="18"/>
          <w:lang w:val="en-CA"/>
        </w:rPr>
        <w:t>3</w:t>
      </w:r>
      <w:r w:rsidR="000315A1">
        <w:rPr>
          <w:b w:val="0"/>
          <w:bCs w:val="0"/>
          <w:sz w:val="18"/>
          <w:szCs w:val="18"/>
          <w:lang w:val="en-CA"/>
        </w:rPr>
        <w:t xml:space="preserve"> </w:t>
      </w:r>
    </w:p>
    <w:p w:rsidR="00797AD8" w:rsidRPr="00797AD8" w:rsidRDefault="00797AD8" w:rsidP="00797AD8">
      <w:pPr>
        <w:pStyle w:val="section1"/>
        <w:keepNext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3870"/>
      </w:tblGrid>
      <w:tr w:rsidR="00797AD8" w:rsidRPr="00B20E70" w:rsidTr="00E35BC1">
        <w:tc>
          <w:tcPr>
            <w:tcW w:w="3168" w:type="dxa"/>
          </w:tcPr>
          <w:p w:rsidR="00797AD8" w:rsidRPr="00B20E70" w:rsidRDefault="00797AD8" w:rsidP="00E35BC1">
            <w:pPr>
              <w:pStyle w:val="section1"/>
              <w:keepNext/>
              <w:ind w:left="0"/>
              <w:rPr>
                <w:rFonts w:ascii="Arial" w:hAnsi="Arial" w:cs="Arial"/>
                <w:lang w:val="en-CA"/>
              </w:rPr>
            </w:pPr>
            <w:r w:rsidRPr="00B20E70">
              <w:rPr>
                <w:rFonts w:ascii="Arial" w:hAnsi="Arial" w:cs="Arial"/>
                <w:lang w:val="en-CA"/>
              </w:rPr>
              <w:t>COURT FILE NUMBER</w:t>
            </w:r>
          </w:p>
          <w:p w:rsidR="00797AD8" w:rsidRPr="00B20E70" w:rsidRDefault="00797AD8" w:rsidP="00E35BC1">
            <w:pPr>
              <w:pStyle w:val="section1"/>
              <w:keepNext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97AD8" w:rsidRPr="00B20E70" w:rsidRDefault="005507A2" w:rsidP="00E35BC1">
            <w:pPr>
              <w:pStyle w:val="section1"/>
              <w:keepNext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8890</wp:posOffset>
                      </wp:positionV>
                      <wp:extent cx="1638300" cy="1712595"/>
                      <wp:effectExtent l="7620" t="8890" r="11430" b="1206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71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509" w:rsidRPr="00797AD8" w:rsidRDefault="00410509" w:rsidP="00797A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97AD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:rsidR="00410509" w:rsidRPr="00797AD8" w:rsidRDefault="00410509" w:rsidP="00797A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10509" w:rsidRPr="00797AD8" w:rsidRDefault="00410509" w:rsidP="00797A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10509" w:rsidRPr="00797AD8" w:rsidRDefault="00410509" w:rsidP="00797A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95.6pt;margin-top:.7pt;width:129pt;height:13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" strokecolor="#bfbfbf">
                      <v:textbox>
                        <w:txbxContent>
                          <w:p w:rsidR="00410509" w:rsidRPr="00797AD8" w:rsidRDefault="00410509" w:rsidP="00797AD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7A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:rsidR="00410509" w:rsidRPr="00797AD8" w:rsidRDefault="00410509" w:rsidP="00797A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10509" w:rsidRPr="00797AD8" w:rsidRDefault="00410509" w:rsidP="00797A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10509" w:rsidRPr="00797AD8" w:rsidRDefault="00410509" w:rsidP="00797A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7AD8" w:rsidRPr="00B20E70" w:rsidTr="00E35BC1">
        <w:tc>
          <w:tcPr>
            <w:tcW w:w="3168" w:type="dxa"/>
          </w:tcPr>
          <w:p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</w:rPr>
              <w:t>COURT</w:t>
            </w:r>
          </w:p>
          <w:p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  <w:lang w:val="en-CA"/>
              </w:rPr>
              <w:t>COURT OF QUEEN’S BENCH OF ALBERTA</w:t>
            </w:r>
          </w:p>
        </w:tc>
      </w:tr>
      <w:tr w:rsidR="00797AD8" w:rsidRPr="00B20E70" w:rsidTr="00E35BC1">
        <w:tc>
          <w:tcPr>
            <w:tcW w:w="3168" w:type="dxa"/>
          </w:tcPr>
          <w:p w:rsidR="00797AD8" w:rsidRPr="00B20E70" w:rsidRDefault="00797AD8" w:rsidP="00740C61">
            <w:pPr>
              <w:pStyle w:val="subsection1"/>
              <w:keepNext/>
              <w:spacing w:before="120"/>
              <w:ind w:left="0"/>
              <w:rPr>
                <w:rFonts w:ascii="Arial" w:hAnsi="Arial" w:cs="Arial"/>
                <w:lang w:val="en-CA"/>
              </w:rPr>
            </w:pPr>
            <w:r w:rsidRPr="00B20E70">
              <w:rPr>
                <w:rFonts w:ascii="Arial" w:hAnsi="Arial" w:cs="Arial"/>
                <w:lang w:val="en-CA"/>
              </w:rPr>
              <w:t>JUDICIAL CENTRE</w:t>
            </w:r>
          </w:p>
          <w:p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97AD8" w:rsidRPr="00B20E70" w:rsidRDefault="00797AD8" w:rsidP="00740C61">
            <w:pPr>
              <w:pStyle w:val="subsection1"/>
              <w:keepNext/>
              <w:spacing w:before="120"/>
              <w:ind w:left="0"/>
              <w:rPr>
                <w:rFonts w:ascii="Arial" w:hAnsi="Arial" w:cs="Arial"/>
              </w:rPr>
            </w:pPr>
          </w:p>
        </w:tc>
      </w:tr>
      <w:tr w:rsidR="00797AD8" w:rsidRPr="00B20E70" w:rsidTr="00E35BC1">
        <w:tc>
          <w:tcPr>
            <w:tcW w:w="3168" w:type="dxa"/>
          </w:tcPr>
          <w:p w:rsidR="00797AD8" w:rsidRPr="00B20E70" w:rsidRDefault="000315A1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lang w:val="en-CA"/>
              </w:rPr>
            </w:pPr>
            <w:r w:rsidRPr="00B20E70">
              <w:rPr>
                <w:rFonts w:ascii="Arial" w:hAnsi="Arial" w:cs="Arial"/>
                <w:lang w:val="en-CA"/>
              </w:rPr>
              <w:t>CLIENT</w:t>
            </w:r>
            <w:r w:rsidR="00797AD8" w:rsidRPr="00B20E70">
              <w:rPr>
                <w:rFonts w:ascii="Arial" w:hAnsi="Arial" w:cs="Arial"/>
                <w:lang w:val="en-CA"/>
              </w:rPr>
              <w:t>(S)</w:t>
            </w:r>
          </w:p>
          <w:p w:rsidR="00797AD8" w:rsidRPr="00B20E70" w:rsidRDefault="000315A1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</w:rPr>
              <w:t>(Applicant(s))</w:t>
            </w:r>
          </w:p>
          <w:p w:rsidR="000315A1" w:rsidRPr="00B20E70" w:rsidRDefault="000315A1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797AD8" w:rsidRPr="00B20E70" w:rsidTr="00E35BC1">
        <w:tc>
          <w:tcPr>
            <w:tcW w:w="3168" w:type="dxa"/>
          </w:tcPr>
          <w:p w:rsidR="00797AD8" w:rsidRPr="00B20E70" w:rsidRDefault="000315A1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lang w:val="en-CA"/>
              </w:rPr>
            </w:pPr>
            <w:r w:rsidRPr="00B20E70">
              <w:rPr>
                <w:rFonts w:ascii="Arial" w:hAnsi="Arial" w:cs="Arial"/>
                <w:lang w:val="en-CA"/>
              </w:rPr>
              <w:t>L</w:t>
            </w:r>
            <w:r w:rsidR="00313CF1" w:rsidRPr="00B20E70">
              <w:rPr>
                <w:rFonts w:ascii="Arial" w:hAnsi="Arial" w:cs="Arial"/>
                <w:lang w:val="en-CA"/>
              </w:rPr>
              <w:t>AYWER(S) or LAW FIRM</w:t>
            </w:r>
          </w:p>
          <w:p w:rsidR="00797AD8" w:rsidRPr="00B20E70" w:rsidRDefault="00313CF1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</w:rPr>
              <w:t>(Respondent(s))</w:t>
            </w:r>
          </w:p>
          <w:p w:rsidR="00313CF1" w:rsidRPr="00B20E70" w:rsidRDefault="00313CF1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797AD8" w:rsidRPr="00B20E70" w:rsidTr="00E35BC1">
        <w:tc>
          <w:tcPr>
            <w:tcW w:w="3168" w:type="dxa"/>
          </w:tcPr>
          <w:p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u w:val="single"/>
                <w:lang w:val="en-CA"/>
              </w:rPr>
            </w:pPr>
            <w:r w:rsidRPr="00B20E70">
              <w:rPr>
                <w:rFonts w:ascii="Arial" w:hAnsi="Arial" w:cs="Arial"/>
                <w:lang w:val="en-CA"/>
              </w:rPr>
              <w:t>DOCUMENT</w:t>
            </w:r>
          </w:p>
        </w:tc>
        <w:tc>
          <w:tcPr>
            <w:tcW w:w="3870" w:type="dxa"/>
          </w:tcPr>
          <w:p w:rsidR="00797AD8" w:rsidRPr="00B20E70" w:rsidRDefault="00797AD8" w:rsidP="00125A26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lang w:val="en-CA"/>
              </w:rPr>
            </w:pPr>
            <w:r w:rsidRPr="00B20E70">
              <w:rPr>
                <w:rFonts w:ascii="Arial" w:hAnsi="Arial" w:cs="Arial"/>
                <w:b/>
                <w:bCs/>
                <w:lang w:val="en-CA"/>
              </w:rPr>
              <w:t>APP</w:t>
            </w:r>
            <w:r w:rsidR="00313CF1" w:rsidRPr="00B20E70">
              <w:rPr>
                <w:rFonts w:ascii="Arial" w:hAnsi="Arial" w:cs="Arial"/>
                <w:b/>
                <w:bCs/>
                <w:lang w:val="en-CA"/>
              </w:rPr>
              <w:t xml:space="preserve">LICATION TO </w:t>
            </w:r>
            <w:r w:rsidR="005F78CA">
              <w:rPr>
                <w:rFonts w:ascii="Arial" w:hAnsi="Arial" w:cs="Arial"/>
                <w:b/>
                <w:bCs/>
                <w:lang w:val="en-CA"/>
              </w:rPr>
              <w:t xml:space="preserve">PERMIT </w:t>
            </w:r>
            <w:r w:rsidR="00313CF1" w:rsidRPr="00B20E70">
              <w:rPr>
                <w:rFonts w:ascii="Arial" w:hAnsi="Arial" w:cs="Arial"/>
                <w:b/>
                <w:bCs/>
                <w:lang w:val="en-CA"/>
              </w:rPr>
              <w:t xml:space="preserve">A REVIEW OF </w:t>
            </w:r>
            <w:r w:rsidR="005F78CA">
              <w:rPr>
                <w:rFonts w:ascii="Arial" w:hAnsi="Arial" w:cs="Arial"/>
                <w:b/>
                <w:bCs/>
                <w:lang w:val="en-CA"/>
              </w:rPr>
              <w:t xml:space="preserve">A </w:t>
            </w:r>
            <w:r w:rsidR="00313CF1" w:rsidRPr="00B20E70">
              <w:rPr>
                <w:rFonts w:ascii="Arial" w:hAnsi="Arial" w:cs="Arial"/>
                <w:b/>
                <w:bCs/>
                <w:lang w:val="en-CA"/>
              </w:rPr>
              <w:t>LAWYER</w:t>
            </w:r>
            <w:r w:rsidR="00213898">
              <w:rPr>
                <w:rFonts w:ascii="Arial" w:hAnsi="Arial" w:cs="Arial"/>
                <w:b/>
                <w:bCs/>
                <w:lang w:val="en-CA"/>
              </w:rPr>
              <w:t xml:space="preserve">’S </w:t>
            </w:r>
            <w:r w:rsidR="005F78CA">
              <w:rPr>
                <w:rFonts w:ascii="Arial" w:hAnsi="Arial" w:cs="Arial"/>
                <w:b/>
                <w:bCs/>
                <w:lang w:val="en-CA"/>
              </w:rPr>
              <w:t>RETAINER AGREEMENT AND ACCOUNTS</w:t>
            </w:r>
          </w:p>
        </w:tc>
      </w:tr>
    </w:tbl>
    <w:p w:rsidR="00797AD8" w:rsidRPr="00B20E70" w:rsidRDefault="00797AD8" w:rsidP="00797AD8">
      <w:pPr>
        <w:pStyle w:val="subsection1"/>
        <w:spacing w:before="0"/>
        <w:ind w:left="0"/>
        <w:rPr>
          <w:rFonts w:ascii="Arial" w:hAnsi="Arial" w:cs="Arial"/>
          <w:lang w:val="en-CA"/>
        </w:rPr>
      </w:pPr>
    </w:p>
    <w:p w:rsidR="00797AD8" w:rsidRPr="00B20E70" w:rsidRDefault="00797AD8" w:rsidP="00797AD8">
      <w:pPr>
        <w:pStyle w:val="subsection1"/>
        <w:spacing w:before="0"/>
        <w:ind w:left="0"/>
        <w:rPr>
          <w:rFonts w:ascii="Arial" w:hAnsi="Arial" w:cs="Arial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168"/>
        <w:gridCol w:w="6570"/>
      </w:tblGrid>
      <w:tr w:rsidR="00797AD8" w:rsidRPr="00B20E70" w:rsidTr="00E35BC1">
        <w:trPr>
          <w:trHeight w:val="680"/>
        </w:trPr>
        <w:tc>
          <w:tcPr>
            <w:tcW w:w="3168" w:type="dxa"/>
          </w:tcPr>
          <w:p w:rsidR="00797AD8" w:rsidRPr="00B20E70" w:rsidRDefault="00797AD8" w:rsidP="00E35BC1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  <w:lang w:val="en-CA"/>
              </w:rPr>
              <w:t>ADDRESS FOR SERVICE AND</w:t>
            </w:r>
          </w:p>
          <w:p w:rsidR="00797AD8" w:rsidRPr="00B20E70" w:rsidRDefault="00797AD8" w:rsidP="00E35BC1">
            <w:pPr>
              <w:pStyle w:val="section1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  <w:lang w:val="en-CA"/>
              </w:rPr>
              <w:t>CONTACT INFORMATION OF</w:t>
            </w:r>
          </w:p>
          <w:p w:rsidR="00797AD8" w:rsidRPr="00B20E70" w:rsidRDefault="00797AD8" w:rsidP="00E35BC1">
            <w:pPr>
              <w:pStyle w:val="section1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  <w:lang w:val="en-CA"/>
              </w:rPr>
              <w:t>PARTY FILING THIS DOCUMENT</w:t>
            </w:r>
          </w:p>
        </w:tc>
        <w:tc>
          <w:tcPr>
            <w:tcW w:w="6570" w:type="dxa"/>
          </w:tcPr>
          <w:p w:rsidR="00797AD8" w:rsidRPr="00B20E70" w:rsidRDefault="00797AD8" w:rsidP="00E35BC1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</w:p>
        </w:tc>
      </w:tr>
    </w:tbl>
    <w:p w:rsidR="00797AD8" w:rsidRPr="00797AD8" w:rsidRDefault="00797AD8" w:rsidP="00797AD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:rsidR="00CF2ADA" w:rsidRDefault="00CF2ADA" w:rsidP="00797AD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F2ADA" w:rsidRPr="00E35BC1" w:rsidTr="00E325A5">
        <w:tc>
          <w:tcPr>
            <w:tcW w:w="9576" w:type="dxa"/>
            <w:tcMar>
              <w:top w:w="85" w:type="dxa"/>
            </w:tcMar>
          </w:tcPr>
          <w:p w:rsidR="00CF2ADA" w:rsidRPr="00E325A5" w:rsidRDefault="00CF2ADA" w:rsidP="00E35BC1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E325A5">
              <w:rPr>
                <w:rFonts w:ascii="Arial" w:hAnsi="Arial" w:cs="Arial"/>
                <w:b/>
                <w:sz w:val="22"/>
                <w:szCs w:val="22"/>
                <w:lang w:val="en-CA"/>
              </w:rPr>
              <w:t>NOTICE TO RESPONDENT(S)</w:t>
            </w:r>
          </w:p>
          <w:p w:rsidR="00CF2ADA" w:rsidRPr="00B20E70" w:rsidRDefault="00CF2ADA" w:rsidP="00E35BC1">
            <w:pPr>
              <w:pStyle w:val="subsection1"/>
              <w:spacing w:before="0"/>
              <w:ind w:left="0"/>
              <w:rPr>
                <w:rFonts w:ascii="Arial" w:hAnsi="Arial" w:cs="Arial"/>
                <w:lang w:val="en-CA"/>
              </w:rPr>
            </w:pPr>
          </w:p>
          <w:p w:rsidR="00CF2ADA" w:rsidRPr="00B20E70" w:rsidRDefault="00313CF1" w:rsidP="00E35BC1">
            <w:pPr>
              <w:pStyle w:val="subsection1"/>
              <w:spacing w:before="0"/>
              <w:ind w:left="0"/>
              <w:rPr>
                <w:rFonts w:ascii="Arial" w:hAnsi="Arial" w:cs="Arial"/>
                <w:lang w:val="en-CA"/>
              </w:rPr>
            </w:pPr>
            <w:r w:rsidRPr="00B20E70">
              <w:rPr>
                <w:rFonts w:ascii="Arial" w:hAnsi="Arial" w:cs="Arial"/>
                <w:lang w:val="en-CA"/>
              </w:rPr>
              <w:t xml:space="preserve">This application is made against you. </w:t>
            </w:r>
            <w:r w:rsidR="00CF2ADA" w:rsidRPr="00B20E70">
              <w:rPr>
                <w:rFonts w:ascii="Arial" w:hAnsi="Arial" w:cs="Arial"/>
                <w:lang w:val="en-CA"/>
              </w:rPr>
              <w:t xml:space="preserve">You have the right to state your side of this matter before </w:t>
            </w:r>
            <w:r w:rsidRPr="00B20E70">
              <w:rPr>
                <w:rFonts w:ascii="Arial" w:hAnsi="Arial" w:cs="Arial"/>
                <w:lang w:val="en-CA"/>
              </w:rPr>
              <w:t>t</w:t>
            </w:r>
            <w:r w:rsidR="00CF2ADA" w:rsidRPr="00B20E70">
              <w:rPr>
                <w:rFonts w:ascii="Arial" w:hAnsi="Arial" w:cs="Arial"/>
                <w:lang w:val="en-CA"/>
              </w:rPr>
              <w:t xml:space="preserve">he </w:t>
            </w:r>
            <w:r w:rsidR="00740C61">
              <w:rPr>
                <w:rFonts w:ascii="Arial" w:hAnsi="Arial" w:cs="Arial"/>
                <w:lang w:val="en-CA"/>
              </w:rPr>
              <w:t>Court</w:t>
            </w:r>
            <w:r w:rsidR="00CF2ADA" w:rsidRPr="00B20E70">
              <w:rPr>
                <w:rFonts w:ascii="Arial" w:hAnsi="Arial" w:cs="Arial"/>
                <w:lang w:val="en-CA"/>
              </w:rPr>
              <w:t>.</w:t>
            </w:r>
          </w:p>
          <w:p w:rsidR="00CF2ADA" w:rsidRPr="00B20E70" w:rsidRDefault="00CF2ADA" w:rsidP="00E35BC1">
            <w:pPr>
              <w:pStyle w:val="subsection1"/>
              <w:spacing w:before="0"/>
              <w:ind w:left="0"/>
              <w:rPr>
                <w:rFonts w:ascii="Arial" w:hAnsi="Arial" w:cs="Arial"/>
                <w:lang w:val="en-CA"/>
              </w:rPr>
            </w:pPr>
          </w:p>
          <w:p w:rsidR="00CF2ADA" w:rsidRPr="00B20E70" w:rsidRDefault="00CF2ADA" w:rsidP="00E35BC1">
            <w:pPr>
              <w:pStyle w:val="subsection1"/>
              <w:spacing w:before="0"/>
              <w:ind w:left="0"/>
              <w:rPr>
                <w:rFonts w:ascii="Arial" w:hAnsi="Arial" w:cs="Arial"/>
                <w:lang w:val="en-CA"/>
              </w:rPr>
            </w:pPr>
            <w:r w:rsidRPr="00B20E70">
              <w:rPr>
                <w:rFonts w:ascii="Arial" w:hAnsi="Arial" w:cs="Arial"/>
                <w:lang w:val="en-CA"/>
              </w:rPr>
              <w:t xml:space="preserve">To do so, you must be present when this matter is heard by the </w:t>
            </w:r>
            <w:r w:rsidR="00740C61">
              <w:rPr>
                <w:rFonts w:ascii="Arial" w:hAnsi="Arial" w:cs="Arial"/>
                <w:lang w:val="en-CA"/>
              </w:rPr>
              <w:t>Court</w:t>
            </w:r>
            <w:r w:rsidRPr="00B20E70">
              <w:rPr>
                <w:rFonts w:ascii="Arial" w:hAnsi="Arial" w:cs="Arial"/>
                <w:lang w:val="en-CA"/>
              </w:rPr>
              <w:t xml:space="preserve"> as shown below:</w:t>
            </w:r>
          </w:p>
          <w:p w:rsidR="00CF2ADA" w:rsidRPr="00B20E70" w:rsidRDefault="00CF2ADA" w:rsidP="00E35BC1">
            <w:pPr>
              <w:pStyle w:val="subsection1"/>
              <w:spacing w:before="0"/>
              <w:ind w:left="0"/>
              <w:rPr>
                <w:rFonts w:ascii="Arial" w:hAnsi="Arial" w:cs="Arial"/>
                <w:lang w:val="en-CA"/>
              </w:rPr>
            </w:pPr>
          </w:p>
          <w:p w:rsidR="00CF2ADA" w:rsidRPr="00B20E70" w:rsidRDefault="00CF2ADA" w:rsidP="00E35BC1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lang w:val="en-CA"/>
              </w:rPr>
            </w:pPr>
            <w:r w:rsidRPr="00B20E70">
              <w:rPr>
                <w:rFonts w:ascii="Arial" w:hAnsi="Arial" w:cs="Arial"/>
                <w:lang w:val="en-CA"/>
              </w:rPr>
              <w:tab/>
            </w:r>
            <w:r w:rsidRPr="00B20E70">
              <w:rPr>
                <w:rFonts w:ascii="Arial" w:hAnsi="Arial" w:cs="Arial"/>
                <w:b/>
                <w:lang w:val="en-CA"/>
              </w:rPr>
              <w:t>Date:</w:t>
            </w:r>
            <w:r w:rsidRPr="00B20E70">
              <w:rPr>
                <w:rFonts w:ascii="Arial" w:hAnsi="Arial" w:cs="Arial"/>
                <w:b/>
                <w:lang w:val="en-CA"/>
              </w:rPr>
              <w:tab/>
            </w:r>
          </w:p>
          <w:p w:rsidR="00CF2ADA" w:rsidRPr="00B20E70" w:rsidRDefault="00CF2ADA" w:rsidP="00E35BC1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lang w:val="en-CA"/>
              </w:rPr>
            </w:pPr>
            <w:r w:rsidRPr="00B20E70">
              <w:rPr>
                <w:rFonts w:ascii="Arial" w:hAnsi="Arial" w:cs="Arial"/>
                <w:b/>
                <w:lang w:val="en-CA"/>
              </w:rPr>
              <w:tab/>
              <w:t>Time:</w:t>
            </w:r>
            <w:r w:rsidRPr="00B20E70">
              <w:rPr>
                <w:rFonts w:ascii="Arial" w:hAnsi="Arial" w:cs="Arial"/>
                <w:b/>
                <w:lang w:val="en-CA"/>
              </w:rPr>
              <w:tab/>
            </w:r>
          </w:p>
          <w:p w:rsidR="00CF2ADA" w:rsidRPr="00B20E70" w:rsidRDefault="00CF2ADA" w:rsidP="00E35BC1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lang w:val="en-CA"/>
              </w:rPr>
            </w:pPr>
            <w:r w:rsidRPr="00B20E70">
              <w:rPr>
                <w:rFonts w:ascii="Arial" w:hAnsi="Arial" w:cs="Arial"/>
                <w:b/>
                <w:lang w:val="en-CA"/>
              </w:rPr>
              <w:tab/>
              <w:t>Where:</w:t>
            </w:r>
            <w:r w:rsidRPr="00B20E70">
              <w:rPr>
                <w:rFonts w:ascii="Arial" w:hAnsi="Arial" w:cs="Arial"/>
                <w:b/>
                <w:lang w:val="en-CA"/>
              </w:rPr>
              <w:tab/>
            </w:r>
          </w:p>
          <w:p w:rsidR="00B20E70" w:rsidRPr="00B20E70" w:rsidRDefault="00B20E70" w:rsidP="00E35BC1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lang w:val="en-CA"/>
              </w:rPr>
            </w:pPr>
            <w:r w:rsidRPr="00B20E70">
              <w:rPr>
                <w:rFonts w:ascii="Arial" w:hAnsi="Arial" w:cs="Arial"/>
                <w:b/>
                <w:lang w:val="en-CA"/>
              </w:rPr>
              <w:tab/>
              <w:t>Before Whom: Master in Chambers</w:t>
            </w:r>
          </w:p>
          <w:p w:rsidR="00CF2ADA" w:rsidRPr="00B20E70" w:rsidRDefault="00CF2ADA" w:rsidP="00E35BC1">
            <w:pPr>
              <w:pStyle w:val="subsection1"/>
              <w:spacing w:before="0"/>
              <w:ind w:left="0"/>
              <w:rPr>
                <w:rFonts w:ascii="Arial" w:hAnsi="Arial" w:cs="Arial"/>
                <w:lang w:val="en-CA"/>
              </w:rPr>
            </w:pPr>
          </w:p>
          <w:p w:rsidR="00CF2ADA" w:rsidRPr="00B20E70" w:rsidRDefault="00CF2ADA" w:rsidP="00E35BC1">
            <w:pPr>
              <w:pStyle w:val="subsection1"/>
              <w:spacing w:before="0"/>
              <w:ind w:left="0"/>
              <w:rPr>
                <w:rFonts w:ascii="Arial" w:hAnsi="Arial" w:cs="Arial"/>
                <w:lang w:val="en-CA"/>
              </w:rPr>
            </w:pPr>
            <w:r w:rsidRPr="00B20E70">
              <w:rPr>
                <w:rFonts w:ascii="Arial" w:hAnsi="Arial" w:cs="Arial"/>
                <w:lang w:val="en-CA"/>
              </w:rPr>
              <w:t>Go to the end of this document to see what else you can do and when you must do it.</w:t>
            </w:r>
          </w:p>
          <w:p w:rsidR="00CF2ADA" w:rsidRPr="00E35BC1" w:rsidRDefault="00CF2ADA" w:rsidP="00E35BC1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:rsidR="00CF2ADA" w:rsidRDefault="00CF2ADA" w:rsidP="00797AD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:rsidR="00CF2ADA" w:rsidRDefault="00CF2ADA" w:rsidP="00797AD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:rsidR="0059654C" w:rsidRPr="00B20E70" w:rsidRDefault="00B20E70" w:rsidP="00797AD8">
      <w:pPr>
        <w:pStyle w:val="subsection1"/>
        <w:spacing w:before="0"/>
        <w:ind w:left="0"/>
        <w:rPr>
          <w:rFonts w:ascii="Arial" w:hAnsi="Arial" w:cs="Arial"/>
          <w:bCs/>
          <w:sz w:val="22"/>
          <w:szCs w:val="22"/>
          <w:lang w:val="en-CA"/>
        </w:rPr>
      </w:pPr>
      <w:r w:rsidRPr="00B20E70">
        <w:rPr>
          <w:rFonts w:ascii="Arial" w:hAnsi="Arial" w:cs="Arial"/>
          <w:b/>
          <w:bCs/>
          <w:sz w:val="22"/>
          <w:szCs w:val="22"/>
          <w:lang w:val="en-CA"/>
        </w:rPr>
        <w:t>Remedy claimed or sought:</w:t>
      </w:r>
    </w:p>
    <w:p w:rsidR="0065700D" w:rsidRPr="0065700D" w:rsidRDefault="00AF59DB" w:rsidP="00934D4C">
      <w:pPr>
        <w:pStyle w:val="subsection1"/>
        <w:numPr>
          <w:ilvl w:val="0"/>
          <w:numId w:val="1"/>
        </w:numPr>
        <w:spacing w:before="240" w:after="240"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order directing that the following accounts be reviewed, notwithstanding Rule 10.10 </w:t>
      </w:r>
      <w:r w:rsidR="00934D4C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i/>
          <w:sz w:val="22"/>
          <w:szCs w:val="22"/>
        </w:rPr>
        <w:t>Time limitation on reviewing retainer agreements and legal accounts</w:t>
      </w:r>
      <w:r w:rsidR="001F7188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103"/>
        <w:gridCol w:w="3104"/>
      </w:tblGrid>
      <w:tr w:rsidR="003154C1" w:rsidRPr="004105B7" w:rsidTr="00934D4C"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5B7">
              <w:rPr>
                <w:rFonts w:ascii="Arial" w:hAnsi="Arial" w:cs="Arial"/>
                <w:b/>
                <w:sz w:val="22"/>
                <w:szCs w:val="22"/>
              </w:rPr>
              <w:t>Date of Account</w:t>
            </w:r>
          </w:p>
        </w:tc>
        <w:tc>
          <w:tcPr>
            <w:tcW w:w="3103" w:type="dxa"/>
            <w:tcBorders>
              <w:bottom w:val="doub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5B7">
              <w:rPr>
                <w:rFonts w:ascii="Arial" w:hAnsi="Arial" w:cs="Arial"/>
                <w:b/>
                <w:sz w:val="22"/>
                <w:szCs w:val="22"/>
              </w:rPr>
              <w:t>Invoice Number</w:t>
            </w:r>
          </w:p>
        </w:tc>
        <w:tc>
          <w:tcPr>
            <w:tcW w:w="3104" w:type="dxa"/>
            <w:tcBorders>
              <w:bottom w:val="double" w:sz="4" w:space="0" w:color="auto"/>
            </w:tcBorders>
            <w:shd w:val="clear" w:color="auto" w:fill="auto"/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05B7">
              <w:rPr>
                <w:rFonts w:ascii="Arial" w:hAnsi="Arial" w:cs="Arial"/>
                <w:b/>
                <w:sz w:val="22"/>
                <w:szCs w:val="22"/>
              </w:rPr>
              <w:t xml:space="preserve">Amount </w:t>
            </w:r>
          </w:p>
        </w:tc>
      </w:tr>
      <w:tr w:rsidR="003154C1" w:rsidRPr="004105B7" w:rsidTr="00934D4C"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double" w:sz="4" w:space="0" w:color="auto"/>
            </w:tcBorders>
            <w:shd w:val="clear" w:color="auto" w:fill="auto"/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4C1" w:rsidRPr="004105B7" w:rsidTr="00934D4C">
        <w:tc>
          <w:tcPr>
            <w:tcW w:w="2410" w:type="dxa"/>
            <w:shd w:val="clear" w:color="auto" w:fill="auto"/>
            <w:tcMar>
              <w:top w:w="113" w:type="dxa"/>
              <w:bottom w:w="113" w:type="dxa"/>
            </w:tcMar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shd w:val="clear" w:color="auto" w:fill="auto"/>
            <w:tcMar>
              <w:top w:w="113" w:type="dxa"/>
              <w:bottom w:w="113" w:type="dxa"/>
            </w:tcMar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auto"/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4C1" w:rsidRPr="004105B7" w:rsidTr="00934D4C">
        <w:tc>
          <w:tcPr>
            <w:tcW w:w="2410" w:type="dxa"/>
            <w:shd w:val="clear" w:color="auto" w:fill="auto"/>
            <w:tcMar>
              <w:top w:w="113" w:type="dxa"/>
              <w:bottom w:w="113" w:type="dxa"/>
            </w:tcMar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shd w:val="clear" w:color="auto" w:fill="auto"/>
            <w:tcMar>
              <w:top w:w="113" w:type="dxa"/>
              <w:bottom w:w="113" w:type="dxa"/>
            </w:tcMar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auto"/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4C1" w:rsidRPr="004105B7" w:rsidTr="00934D4C">
        <w:tc>
          <w:tcPr>
            <w:tcW w:w="2410" w:type="dxa"/>
            <w:shd w:val="clear" w:color="auto" w:fill="auto"/>
            <w:tcMar>
              <w:top w:w="113" w:type="dxa"/>
              <w:bottom w:w="113" w:type="dxa"/>
            </w:tcMar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shd w:val="clear" w:color="auto" w:fill="auto"/>
            <w:tcMar>
              <w:top w:w="113" w:type="dxa"/>
              <w:bottom w:w="113" w:type="dxa"/>
            </w:tcMar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auto"/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4C1" w:rsidRPr="004105B7" w:rsidTr="00934D4C">
        <w:tc>
          <w:tcPr>
            <w:tcW w:w="2410" w:type="dxa"/>
            <w:shd w:val="clear" w:color="auto" w:fill="auto"/>
            <w:tcMar>
              <w:top w:w="113" w:type="dxa"/>
              <w:bottom w:w="113" w:type="dxa"/>
            </w:tcMar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shd w:val="clear" w:color="auto" w:fill="auto"/>
            <w:tcMar>
              <w:top w:w="113" w:type="dxa"/>
              <w:bottom w:w="113" w:type="dxa"/>
            </w:tcMar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auto"/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4C1" w:rsidRPr="004105B7" w:rsidTr="00934D4C">
        <w:tc>
          <w:tcPr>
            <w:tcW w:w="2410" w:type="dxa"/>
            <w:shd w:val="clear" w:color="auto" w:fill="auto"/>
            <w:tcMar>
              <w:top w:w="113" w:type="dxa"/>
              <w:bottom w:w="113" w:type="dxa"/>
            </w:tcMar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shd w:val="clear" w:color="auto" w:fill="auto"/>
            <w:tcMar>
              <w:top w:w="113" w:type="dxa"/>
              <w:bottom w:w="113" w:type="dxa"/>
            </w:tcMar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auto"/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4C1" w:rsidRPr="004105B7" w:rsidTr="00934D4C">
        <w:tc>
          <w:tcPr>
            <w:tcW w:w="2410" w:type="dxa"/>
            <w:shd w:val="clear" w:color="auto" w:fill="auto"/>
            <w:tcMar>
              <w:top w:w="113" w:type="dxa"/>
              <w:bottom w:w="113" w:type="dxa"/>
            </w:tcMar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shd w:val="clear" w:color="auto" w:fill="auto"/>
            <w:tcMar>
              <w:top w:w="113" w:type="dxa"/>
              <w:bottom w:w="113" w:type="dxa"/>
            </w:tcMar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auto"/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4C1" w:rsidRPr="004105B7" w:rsidTr="00934D4C">
        <w:tc>
          <w:tcPr>
            <w:tcW w:w="2410" w:type="dxa"/>
            <w:shd w:val="clear" w:color="auto" w:fill="auto"/>
            <w:tcMar>
              <w:top w:w="113" w:type="dxa"/>
              <w:bottom w:w="113" w:type="dxa"/>
            </w:tcMar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shd w:val="clear" w:color="auto" w:fill="auto"/>
            <w:tcMar>
              <w:top w:w="113" w:type="dxa"/>
              <w:bottom w:w="113" w:type="dxa"/>
            </w:tcMar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auto"/>
          </w:tcPr>
          <w:p w:rsidR="003154C1" w:rsidRPr="004105B7" w:rsidRDefault="003154C1" w:rsidP="004105B7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78CA" w:rsidRDefault="003154C1" w:rsidP="00700967">
      <w:pPr>
        <w:pStyle w:val="subsection1"/>
        <w:numPr>
          <w:ilvl w:val="0"/>
          <w:numId w:val="1"/>
        </w:numPr>
        <w:spacing w:before="240" w:after="240"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CA"/>
        </w:rPr>
        <w:t xml:space="preserve">In the </w:t>
      </w:r>
      <w:r w:rsidRPr="0065700D">
        <w:rPr>
          <w:rFonts w:ascii="Arial" w:hAnsi="Arial" w:cs="Arial"/>
          <w:sz w:val="22"/>
          <w:szCs w:val="22"/>
        </w:rPr>
        <w:t>alternative</w:t>
      </w:r>
      <w:r>
        <w:rPr>
          <w:rFonts w:ascii="Arial" w:hAnsi="Arial" w:cs="Arial"/>
          <w:bCs/>
          <w:sz w:val="22"/>
          <w:szCs w:val="22"/>
          <w:lang w:val="en-CA"/>
        </w:rPr>
        <w:t xml:space="preserve">, </w:t>
      </w:r>
      <w:r w:rsidRPr="00700967">
        <w:rPr>
          <w:rFonts w:ascii="Arial" w:hAnsi="Arial" w:cs="Arial"/>
          <w:sz w:val="22"/>
          <w:szCs w:val="22"/>
        </w:rPr>
        <w:t>a</w:t>
      </w:r>
      <w:r w:rsidR="00B20E70" w:rsidRPr="00700967">
        <w:rPr>
          <w:rFonts w:ascii="Arial" w:hAnsi="Arial" w:cs="Arial"/>
          <w:sz w:val="22"/>
          <w:szCs w:val="22"/>
        </w:rPr>
        <w:t>n</w:t>
      </w:r>
      <w:r w:rsidR="00B20E70" w:rsidRPr="00740C61">
        <w:rPr>
          <w:rFonts w:ascii="Arial" w:hAnsi="Arial" w:cs="Arial"/>
          <w:bCs/>
          <w:sz w:val="22"/>
          <w:szCs w:val="22"/>
          <w:lang w:val="en-CA"/>
        </w:rPr>
        <w:t xml:space="preserve"> order </w:t>
      </w:r>
      <w:r w:rsidR="00B20E70" w:rsidRPr="0065700D">
        <w:rPr>
          <w:rFonts w:ascii="Arial" w:hAnsi="Arial" w:cs="Arial"/>
          <w:sz w:val="22"/>
          <w:szCs w:val="22"/>
        </w:rPr>
        <w:t>extending</w:t>
      </w:r>
      <w:r w:rsidR="00B20E70" w:rsidRPr="00740C61">
        <w:rPr>
          <w:rFonts w:ascii="Arial" w:hAnsi="Arial" w:cs="Arial"/>
          <w:bCs/>
          <w:sz w:val="22"/>
          <w:szCs w:val="22"/>
          <w:lang w:val="en-CA"/>
        </w:rPr>
        <w:t xml:space="preserve"> the time for a review of the accounts</w:t>
      </w:r>
      <w:r w:rsidR="00AF59DB">
        <w:rPr>
          <w:rFonts w:ascii="Arial" w:hAnsi="Arial" w:cs="Arial"/>
          <w:bCs/>
          <w:sz w:val="22"/>
          <w:szCs w:val="22"/>
          <w:lang w:val="en-CA"/>
        </w:rPr>
        <w:t>.</w:t>
      </w:r>
    </w:p>
    <w:p w:rsidR="00B20E70" w:rsidRPr="00740C61" w:rsidRDefault="003154C1" w:rsidP="00700967">
      <w:pPr>
        <w:pStyle w:val="subsection1"/>
        <w:numPr>
          <w:ilvl w:val="0"/>
          <w:numId w:val="1"/>
        </w:numPr>
        <w:spacing w:before="240" w:after="240"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order </w:t>
      </w:r>
      <w:r w:rsidRPr="00700967">
        <w:rPr>
          <w:rFonts w:ascii="Arial" w:hAnsi="Arial" w:cs="Arial"/>
          <w:bCs/>
          <w:sz w:val="22"/>
          <w:szCs w:val="22"/>
          <w:lang w:val="en-CA"/>
        </w:rPr>
        <w:t>permitting</w:t>
      </w:r>
      <w:r>
        <w:rPr>
          <w:rFonts w:ascii="Arial" w:hAnsi="Arial" w:cs="Arial"/>
          <w:sz w:val="22"/>
          <w:szCs w:val="22"/>
        </w:rPr>
        <w:t xml:space="preserve"> the review of any retainer agreement</w:t>
      </w:r>
      <w:r w:rsidR="001F7188">
        <w:rPr>
          <w:rFonts w:ascii="Arial" w:hAnsi="Arial" w:cs="Arial"/>
          <w:sz w:val="22"/>
          <w:szCs w:val="22"/>
        </w:rPr>
        <w:t xml:space="preserve"> </w:t>
      </w:r>
      <w:r w:rsidR="00463731">
        <w:rPr>
          <w:rFonts w:ascii="Arial" w:hAnsi="Arial" w:cs="Arial"/>
          <w:sz w:val="22"/>
          <w:szCs w:val="22"/>
        </w:rPr>
        <w:t xml:space="preserve">that </w:t>
      </w:r>
      <w:r w:rsidR="001F7188">
        <w:rPr>
          <w:rFonts w:ascii="Arial" w:hAnsi="Arial" w:cs="Arial"/>
          <w:sz w:val="22"/>
          <w:szCs w:val="22"/>
        </w:rPr>
        <w:t>relate</w:t>
      </w:r>
      <w:r w:rsidR="00463731">
        <w:rPr>
          <w:rFonts w:ascii="Arial" w:hAnsi="Arial" w:cs="Arial"/>
          <w:sz w:val="22"/>
          <w:szCs w:val="22"/>
        </w:rPr>
        <w:t>s</w:t>
      </w:r>
      <w:r w:rsidR="001F7188">
        <w:rPr>
          <w:rFonts w:ascii="Arial" w:hAnsi="Arial" w:cs="Arial"/>
          <w:sz w:val="22"/>
          <w:szCs w:val="22"/>
        </w:rPr>
        <w:t xml:space="preserve"> to the accounts, notwithstanding Rule 10.10.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97AD8" w:rsidRPr="008E2AAC" w:rsidRDefault="008E2AAC" w:rsidP="00700967">
      <w:pPr>
        <w:pStyle w:val="subsection1"/>
        <w:spacing w:before="360" w:after="24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Grounds for making the application:</w:t>
      </w:r>
    </w:p>
    <w:p w:rsidR="0065700D" w:rsidRDefault="00213898" w:rsidP="00700967">
      <w:pPr>
        <w:pStyle w:val="subsection1"/>
        <w:numPr>
          <w:ilvl w:val="0"/>
          <w:numId w:val="1"/>
        </w:numPr>
        <w:spacing w:before="240" w:after="24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5700D">
        <w:rPr>
          <w:rFonts w:ascii="Arial" w:hAnsi="Arial" w:cs="Arial"/>
          <w:sz w:val="22"/>
          <w:szCs w:val="22"/>
        </w:rPr>
        <w:t xml:space="preserve">The accounts are </w:t>
      </w:r>
      <w:r w:rsidRPr="00700967">
        <w:rPr>
          <w:rFonts w:ascii="Arial" w:hAnsi="Arial" w:cs="Arial"/>
          <w:bCs/>
          <w:sz w:val="22"/>
          <w:szCs w:val="22"/>
          <w:lang w:val="en-CA"/>
        </w:rPr>
        <w:t>unreasonable</w:t>
      </w:r>
      <w:r w:rsidRPr="0065700D">
        <w:rPr>
          <w:rFonts w:ascii="Arial" w:hAnsi="Arial" w:cs="Arial"/>
          <w:sz w:val="22"/>
          <w:szCs w:val="22"/>
        </w:rPr>
        <w:t xml:space="preserve">, having regard to the legal services provided by the </w:t>
      </w:r>
      <w:r w:rsidR="0065700D" w:rsidRPr="0065700D">
        <w:rPr>
          <w:rFonts w:ascii="Arial" w:hAnsi="Arial" w:cs="Arial"/>
          <w:sz w:val="22"/>
          <w:szCs w:val="22"/>
        </w:rPr>
        <w:t>R</w:t>
      </w:r>
      <w:r w:rsidRPr="0065700D">
        <w:rPr>
          <w:rFonts w:ascii="Arial" w:hAnsi="Arial" w:cs="Arial"/>
          <w:sz w:val="22"/>
          <w:szCs w:val="22"/>
        </w:rPr>
        <w:t>espondent(s)</w:t>
      </w:r>
      <w:r w:rsidR="00410509">
        <w:rPr>
          <w:rFonts w:ascii="Arial" w:hAnsi="Arial" w:cs="Arial"/>
          <w:sz w:val="22"/>
          <w:szCs w:val="22"/>
        </w:rPr>
        <w:t xml:space="preserve"> and the </w:t>
      </w:r>
      <w:r w:rsidR="00FA1175">
        <w:rPr>
          <w:rFonts w:ascii="Arial" w:hAnsi="Arial" w:cs="Arial"/>
          <w:sz w:val="22"/>
          <w:szCs w:val="22"/>
        </w:rPr>
        <w:t>retainer agreement made between the parties</w:t>
      </w:r>
      <w:r w:rsidRPr="0065700D">
        <w:rPr>
          <w:rFonts w:ascii="Arial" w:hAnsi="Arial" w:cs="Arial"/>
          <w:sz w:val="22"/>
          <w:szCs w:val="22"/>
        </w:rPr>
        <w:t>.</w:t>
      </w:r>
    </w:p>
    <w:p w:rsidR="0065700D" w:rsidRDefault="00213898" w:rsidP="00700967">
      <w:pPr>
        <w:pStyle w:val="subsection1"/>
        <w:numPr>
          <w:ilvl w:val="0"/>
          <w:numId w:val="1"/>
        </w:numPr>
        <w:spacing w:before="240" w:after="24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5700D">
        <w:rPr>
          <w:rFonts w:ascii="Arial" w:hAnsi="Arial" w:cs="Arial"/>
          <w:sz w:val="22"/>
          <w:szCs w:val="22"/>
        </w:rPr>
        <w:t xml:space="preserve">There is a reasonable explanation for the </w:t>
      </w:r>
      <w:r w:rsidR="000773E4" w:rsidRPr="0065700D">
        <w:rPr>
          <w:rFonts w:ascii="Arial" w:hAnsi="Arial" w:cs="Arial"/>
          <w:sz w:val="22"/>
          <w:szCs w:val="22"/>
        </w:rPr>
        <w:t xml:space="preserve">delay in requesting </w:t>
      </w:r>
      <w:r w:rsidR="00D1631A" w:rsidRPr="0065700D">
        <w:rPr>
          <w:rFonts w:ascii="Arial" w:hAnsi="Arial" w:cs="Arial"/>
          <w:sz w:val="22"/>
          <w:szCs w:val="22"/>
        </w:rPr>
        <w:t>a</w:t>
      </w:r>
      <w:r w:rsidR="000773E4" w:rsidRPr="0065700D">
        <w:rPr>
          <w:rFonts w:ascii="Arial" w:hAnsi="Arial" w:cs="Arial"/>
          <w:sz w:val="22"/>
          <w:szCs w:val="22"/>
        </w:rPr>
        <w:t xml:space="preserve"> review.</w:t>
      </w:r>
    </w:p>
    <w:p w:rsidR="000773E4" w:rsidRPr="0065700D" w:rsidRDefault="0065700D" w:rsidP="00700967">
      <w:pPr>
        <w:pStyle w:val="subsection1"/>
        <w:numPr>
          <w:ilvl w:val="0"/>
          <w:numId w:val="1"/>
        </w:numPr>
        <w:spacing w:before="240" w:after="24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5700D">
        <w:rPr>
          <w:rFonts w:ascii="Arial" w:hAnsi="Arial" w:cs="Arial"/>
          <w:sz w:val="22"/>
          <w:szCs w:val="22"/>
        </w:rPr>
        <w:t>The limitation period has not expired and a</w:t>
      </w:r>
      <w:r w:rsidR="000773E4" w:rsidRPr="0065700D">
        <w:rPr>
          <w:rFonts w:ascii="Arial" w:hAnsi="Arial" w:cs="Arial"/>
          <w:sz w:val="22"/>
          <w:szCs w:val="22"/>
        </w:rPr>
        <w:t xml:space="preserve"> review would not prejudice the Respondent(s).</w:t>
      </w:r>
    </w:p>
    <w:p w:rsidR="000773E4" w:rsidRDefault="000773E4" w:rsidP="00700967">
      <w:pPr>
        <w:pStyle w:val="subsection1"/>
        <w:spacing w:before="360" w:after="24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Material or evidence to be relied on:</w:t>
      </w:r>
    </w:p>
    <w:p w:rsidR="000773E4" w:rsidRDefault="000773E4" w:rsidP="00700967">
      <w:pPr>
        <w:pStyle w:val="subsection1"/>
        <w:numPr>
          <w:ilvl w:val="0"/>
          <w:numId w:val="1"/>
        </w:numPr>
        <w:spacing w:before="240" w:after="24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773E4">
        <w:rPr>
          <w:rFonts w:ascii="Arial" w:hAnsi="Arial" w:cs="Arial"/>
          <w:sz w:val="22"/>
          <w:szCs w:val="22"/>
        </w:rPr>
        <w:t xml:space="preserve">The Applicant will rely on the affidavit of </w:t>
      </w:r>
      <w:r w:rsidR="00D74C60">
        <w:rPr>
          <w:rFonts w:ascii="Arial" w:hAnsi="Arial" w:cs="Arial"/>
          <w:sz w:val="22"/>
          <w:szCs w:val="22"/>
        </w:rPr>
        <w:t>___________________</w:t>
      </w:r>
      <w:r w:rsidRPr="000773E4">
        <w:rPr>
          <w:rFonts w:ascii="Arial" w:hAnsi="Arial" w:cs="Arial"/>
          <w:sz w:val="22"/>
          <w:szCs w:val="22"/>
        </w:rPr>
        <w:t xml:space="preserve">, sworn on the </w:t>
      </w:r>
      <w:r w:rsidR="00D74C60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Pr="000773E4">
        <w:rPr>
          <w:rFonts w:ascii="Arial" w:hAnsi="Arial" w:cs="Arial"/>
          <w:sz w:val="22"/>
          <w:szCs w:val="22"/>
        </w:rPr>
        <w:t xml:space="preserve">day of </w:t>
      </w:r>
      <w:r w:rsidR="00D74C60">
        <w:rPr>
          <w:rFonts w:ascii="Arial" w:hAnsi="Arial" w:cs="Arial"/>
        </w:rPr>
        <w:t>__________________</w:t>
      </w:r>
      <w:r>
        <w:rPr>
          <w:rFonts w:ascii="Arial" w:hAnsi="Arial" w:cs="Arial"/>
        </w:rPr>
        <w:t>, 20</w:t>
      </w:r>
      <w:r w:rsidR="00D74C60">
        <w:rPr>
          <w:rFonts w:ascii="Arial" w:hAnsi="Arial" w:cs="Arial"/>
        </w:rPr>
        <w:t>_____</w:t>
      </w:r>
      <w:r w:rsidR="00D1631A">
        <w:rPr>
          <w:rFonts w:ascii="Arial" w:hAnsi="Arial" w:cs="Arial"/>
        </w:rPr>
        <w:t xml:space="preserve">, </w:t>
      </w:r>
      <w:r w:rsidR="00D1631A" w:rsidRPr="00D1631A">
        <w:rPr>
          <w:rFonts w:ascii="Arial" w:hAnsi="Arial" w:cs="Arial"/>
          <w:sz w:val="22"/>
          <w:szCs w:val="22"/>
        </w:rPr>
        <w:t>and filed</w:t>
      </w:r>
      <w:r w:rsidR="00D1631A">
        <w:rPr>
          <w:rFonts w:ascii="Arial" w:hAnsi="Arial" w:cs="Arial"/>
          <w:sz w:val="22"/>
          <w:szCs w:val="22"/>
        </w:rPr>
        <w:t>.</w:t>
      </w:r>
    </w:p>
    <w:p w:rsidR="00D1631A" w:rsidRDefault="00D1631A" w:rsidP="00E325A5">
      <w:pPr>
        <w:pStyle w:val="subsection1"/>
        <w:spacing w:before="360" w:after="24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Applicable Rules:</w:t>
      </w:r>
    </w:p>
    <w:p w:rsidR="00D1631A" w:rsidRDefault="00D1631A" w:rsidP="00700967">
      <w:pPr>
        <w:pStyle w:val="subsection1"/>
        <w:numPr>
          <w:ilvl w:val="0"/>
          <w:numId w:val="1"/>
        </w:numPr>
        <w:spacing w:before="240" w:after="240"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Rule 10.10 [</w:t>
      </w:r>
      <w:r>
        <w:rPr>
          <w:rFonts w:ascii="Arial" w:hAnsi="Arial" w:cs="Arial"/>
          <w:i/>
          <w:sz w:val="22"/>
          <w:szCs w:val="22"/>
        </w:rPr>
        <w:t>Time limitation on reviewing retainer agreements and legal accounts</w:t>
      </w:r>
      <w:r>
        <w:rPr>
          <w:rFonts w:ascii="Arial" w:hAnsi="Arial" w:cs="Arial"/>
          <w:sz w:val="22"/>
          <w:szCs w:val="22"/>
        </w:rPr>
        <w:t>].</w:t>
      </w:r>
    </w:p>
    <w:p w:rsidR="00D1631A" w:rsidRDefault="00D1631A" w:rsidP="00700967">
      <w:pPr>
        <w:pStyle w:val="subsection1"/>
        <w:numPr>
          <w:ilvl w:val="0"/>
          <w:numId w:val="1"/>
        </w:numPr>
        <w:spacing w:before="240" w:after="240"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Rule 1.4(2</w:t>
      </w:r>
      <w:proofErr w:type="gramStart"/>
      <w:r>
        <w:rPr>
          <w:rFonts w:ascii="Arial" w:hAnsi="Arial" w:cs="Arial"/>
          <w:sz w:val="22"/>
          <w:szCs w:val="22"/>
        </w:rPr>
        <w:t>)</w:t>
      </w:r>
      <w:r w:rsidR="00470ED7">
        <w:rPr>
          <w:rFonts w:ascii="Arial" w:hAnsi="Arial" w:cs="Arial"/>
          <w:sz w:val="22"/>
          <w:szCs w:val="22"/>
        </w:rPr>
        <w:t>(</w:t>
      </w:r>
      <w:proofErr w:type="gramEnd"/>
      <w:r w:rsidR="00470ED7">
        <w:rPr>
          <w:rFonts w:ascii="Arial" w:hAnsi="Arial" w:cs="Arial"/>
          <w:sz w:val="22"/>
          <w:szCs w:val="22"/>
        </w:rPr>
        <w:t>c)</w:t>
      </w:r>
      <w:r w:rsidR="00401889">
        <w:rPr>
          <w:rFonts w:ascii="Arial" w:hAnsi="Arial" w:cs="Arial"/>
          <w:sz w:val="22"/>
          <w:szCs w:val="22"/>
        </w:rPr>
        <w:t xml:space="preserve"> and (h)</w:t>
      </w:r>
      <w:r w:rsidR="00470ED7">
        <w:rPr>
          <w:rFonts w:ascii="Arial" w:hAnsi="Arial" w:cs="Arial"/>
          <w:sz w:val="22"/>
          <w:szCs w:val="22"/>
        </w:rPr>
        <w:t xml:space="preserve"> [</w:t>
      </w:r>
      <w:r w:rsidR="00470ED7">
        <w:rPr>
          <w:rFonts w:ascii="Arial" w:hAnsi="Arial" w:cs="Arial"/>
          <w:i/>
          <w:sz w:val="22"/>
          <w:szCs w:val="22"/>
        </w:rPr>
        <w:t xml:space="preserve">Procedural orders – </w:t>
      </w:r>
      <w:r w:rsidR="00470ED7" w:rsidRPr="00401889">
        <w:rPr>
          <w:rFonts w:ascii="Arial" w:hAnsi="Arial" w:cs="Arial"/>
          <w:sz w:val="22"/>
          <w:szCs w:val="22"/>
        </w:rPr>
        <w:t>order, direction or ruling with respect to a proceeding or related matter</w:t>
      </w:r>
      <w:r w:rsidR="00401889">
        <w:rPr>
          <w:rFonts w:ascii="Arial" w:hAnsi="Arial" w:cs="Arial"/>
          <w:sz w:val="22"/>
          <w:szCs w:val="22"/>
        </w:rPr>
        <w:t>; extending the time for doing anything in a proceeding</w:t>
      </w:r>
      <w:r w:rsidR="00470ED7">
        <w:rPr>
          <w:rFonts w:ascii="Arial" w:hAnsi="Arial" w:cs="Arial"/>
          <w:sz w:val="22"/>
          <w:szCs w:val="22"/>
        </w:rPr>
        <w:t>].</w:t>
      </w:r>
    </w:p>
    <w:p w:rsidR="00470ED7" w:rsidRDefault="00470ED7" w:rsidP="00700967">
      <w:pPr>
        <w:pStyle w:val="subsection1"/>
        <w:numPr>
          <w:ilvl w:val="0"/>
          <w:numId w:val="1"/>
        </w:numPr>
        <w:spacing w:before="240" w:after="240"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Rule 1</w:t>
      </w:r>
      <w:r w:rsidR="00E325A5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>(1</w:t>
      </w:r>
      <w:proofErr w:type="gramStart"/>
      <w:r>
        <w:rPr>
          <w:rFonts w:ascii="Arial" w:hAnsi="Arial" w:cs="Arial"/>
          <w:sz w:val="22"/>
          <w:szCs w:val="22"/>
        </w:rPr>
        <w:t>)(</w:t>
      </w:r>
      <w:proofErr w:type="gramEnd"/>
      <w:r w:rsidR="004018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 [</w:t>
      </w:r>
      <w:r>
        <w:rPr>
          <w:rFonts w:ascii="Arial" w:hAnsi="Arial" w:cs="Arial"/>
          <w:i/>
          <w:sz w:val="22"/>
          <w:szCs w:val="22"/>
        </w:rPr>
        <w:t>Rule contravention, non-compliance and irregularities</w:t>
      </w:r>
      <w:r>
        <w:rPr>
          <w:rFonts w:ascii="Arial" w:hAnsi="Arial" w:cs="Arial"/>
          <w:sz w:val="22"/>
          <w:szCs w:val="22"/>
        </w:rPr>
        <w:t xml:space="preserve"> – </w:t>
      </w:r>
      <w:r w:rsidR="00E325A5" w:rsidRPr="00401889">
        <w:rPr>
          <w:rFonts w:ascii="Arial" w:hAnsi="Arial" w:cs="Arial"/>
          <w:sz w:val="22"/>
          <w:szCs w:val="22"/>
        </w:rPr>
        <w:t>curing</w:t>
      </w:r>
      <w:r w:rsidR="00401889">
        <w:rPr>
          <w:rFonts w:ascii="Arial" w:hAnsi="Arial" w:cs="Arial"/>
          <w:sz w:val="22"/>
          <w:szCs w:val="22"/>
        </w:rPr>
        <w:t xml:space="preserve"> a contravention of, or non-compliance with, the rules</w:t>
      </w:r>
      <w:r w:rsidRPr="00E325A5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:rsidR="00470ED7" w:rsidRDefault="00E325A5" w:rsidP="00700967">
      <w:pPr>
        <w:pStyle w:val="subsection1"/>
        <w:numPr>
          <w:ilvl w:val="0"/>
          <w:numId w:val="1"/>
        </w:numPr>
        <w:spacing w:before="240" w:after="240"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Rule 13.5(2) and (3) [</w:t>
      </w:r>
      <w:r>
        <w:rPr>
          <w:rFonts w:ascii="Arial" w:hAnsi="Arial" w:cs="Arial"/>
          <w:i/>
          <w:sz w:val="22"/>
          <w:szCs w:val="22"/>
        </w:rPr>
        <w:t>Variation of time periods</w:t>
      </w:r>
      <w:r>
        <w:rPr>
          <w:rFonts w:ascii="Arial" w:hAnsi="Arial" w:cs="Arial"/>
          <w:sz w:val="22"/>
          <w:szCs w:val="22"/>
        </w:rPr>
        <w:t>].</w:t>
      </w:r>
    </w:p>
    <w:p w:rsidR="00E325A5" w:rsidRPr="00E325A5" w:rsidRDefault="00E325A5" w:rsidP="00700967">
      <w:pPr>
        <w:pStyle w:val="subsection1"/>
        <w:spacing w:before="360" w:after="24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Applicable acts and regulations:</w:t>
      </w:r>
    </w:p>
    <w:p w:rsidR="00CF2ADA" w:rsidRDefault="0065700D" w:rsidP="00700967">
      <w:pPr>
        <w:pStyle w:val="subsection1"/>
        <w:numPr>
          <w:ilvl w:val="0"/>
          <w:numId w:val="1"/>
        </w:numPr>
        <w:spacing w:before="240" w:after="240"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</w:t>
      </w:r>
      <w:r w:rsidRPr="00700967">
        <w:rPr>
          <w:rFonts w:ascii="Arial" w:hAnsi="Arial" w:cs="Arial"/>
          <w:sz w:val="22"/>
          <w:szCs w:val="22"/>
        </w:rPr>
        <w:t>Limitations</w:t>
      </w:r>
      <w:r>
        <w:rPr>
          <w:rFonts w:ascii="Arial" w:hAnsi="Arial" w:cs="Arial"/>
          <w:i/>
          <w:sz w:val="22"/>
          <w:szCs w:val="22"/>
        </w:rPr>
        <w:t xml:space="preserve"> Act</w:t>
      </w:r>
      <w:r>
        <w:rPr>
          <w:rFonts w:ascii="Arial" w:hAnsi="Arial" w:cs="Arial"/>
          <w:sz w:val="22"/>
          <w:szCs w:val="22"/>
        </w:rPr>
        <w:t>, RSA 2000, c L-12, section 3(1</w:t>
      </w:r>
      <w:proofErr w:type="gramStart"/>
      <w:r>
        <w:rPr>
          <w:rFonts w:ascii="Arial" w:hAnsi="Arial" w:cs="Arial"/>
          <w:sz w:val="22"/>
          <w:szCs w:val="22"/>
        </w:rPr>
        <w:t>)(</w:t>
      </w:r>
      <w:proofErr w:type="gramEnd"/>
      <w:r>
        <w:rPr>
          <w:rFonts w:ascii="Arial" w:hAnsi="Arial" w:cs="Arial"/>
          <w:sz w:val="22"/>
          <w:szCs w:val="22"/>
        </w:rPr>
        <w:t xml:space="preserve">a) </w:t>
      </w:r>
      <w:r w:rsidR="00813A5F">
        <w:rPr>
          <w:rFonts w:ascii="Arial" w:hAnsi="Arial" w:cs="Arial"/>
          <w:sz w:val="22"/>
          <w:szCs w:val="22"/>
        </w:rPr>
        <w:t xml:space="preserve">– </w:t>
      </w:r>
      <w:r w:rsidR="00401889">
        <w:rPr>
          <w:rFonts w:ascii="Arial" w:hAnsi="Arial" w:cs="Arial"/>
          <w:sz w:val="22"/>
          <w:szCs w:val="22"/>
        </w:rPr>
        <w:t>2 year</w:t>
      </w:r>
      <w:r w:rsidR="00813A5F">
        <w:rPr>
          <w:rFonts w:ascii="Arial" w:hAnsi="Arial" w:cs="Arial"/>
          <w:sz w:val="22"/>
          <w:szCs w:val="22"/>
        </w:rPr>
        <w:t xml:space="preserve"> limitation period for seeking a remedial order (including a review</w:t>
      </w:r>
      <w:r w:rsidR="008D6A32">
        <w:rPr>
          <w:rFonts w:ascii="Arial" w:hAnsi="Arial" w:cs="Arial"/>
          <w:sz w:val="22"/>
          <w:szCs w:val="22"/>
        </w:rPr>
        <w:t>, as it</w:t>
      </w:r>
      <w:r w:rsidR="00401889">
        <w:rPr>
          <w:rFonts w:ascii="Arial" w:hAnsi="Arial" w:cs="Arial"/>
          <w:sz w:val="22"/>
          <w:szCs w:val="22"/>
        </w:rPr>
        <w:t xml:space="preserve"> </w:t>
      </w:r>
      <w:r w:rsidR="00F27C96">
        <w:rPr>
          <w:rFonts w:ascii="Arial" w:hAnsi="Arial" w:cs="Arial"/>
          <w:sz w:val="22"/>
          <w:szCs w:val="22"/>
        </w:rPr>
        <w:t>may result in</w:t>
      </w:r>
      <w:r w:rsidR="00401889">
        <w:rPr>
          <w:rFonts w:ascii="Arial" w:hAnsi="Arial" w:cs="Arial"/>
          <w:sz w:val="22"/>
          <w:szCs w:val="22"/>
        </w:rPr>
        <w:t xml:space="preserve"> a remedial order</w:t>
      </w:r>
      <w:r w:rsidR="00813A5F">
        <w:rPr>
          <w:rFonts w:ascii="Arial" w:hAnsi="Arial" w:cs="Arial"/>
          <w:sz w:val="22"/>
          <w:szCs w:val="22"/>
        </w:rPr>
        <w:t>).</w:t>
      </w:r>
    </w:p>
    <w:p w:rsidR="00813A5F" w:rsidRDefault="00813A5F" w:rsidP="00813A5F">
      <w:pPr>
        <w:pStyle w:val="subsection1"/>
        <w:spacing w:before="360" w:after="24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Any irregularity complained of or objection relied on:</w:t>
      </w:r>
    </w:p>
    <w:p w:rsidR="004105B7" w:rsidRDefault="004105B7" w:rsidP="00700967">
      <w:pPr>
        <w:pStyle w:val="subsection1"/>
        <w:numPr>
          <w:ilvl w:val="0"/>
          <w:numId w:val="1"/>
        </w:numPr>
        <w:spacing w:before="240" w:after="240"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None.</w:t>
      </w:r>
    </w:p>
    <w:p w:rsidR="004105B7" w:rsidRDefault="004105B7" w:rsidP="00700967">
      <w:pPr>
        <w:pStyle w:val="subsection1"/>
        <w:spacing w:before="360" w:after="24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How the application is proposed to be heard or considered:</w:t>
      </w:r>
    </w:p>
    <w:p w:rsidR="00782788" w:rsidRDefault="00547ED0" w:rsidP="00700967">
      <w:pPr>
        <w:pStyle w:val="subsection1"/>
        <w:numPr>
          <w:ilvl w:val="0"/>
          <w:numId w:val="1"/>
        </w:numPr>
        <w:spacing w:before="240" w:after="240"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proposed that the application be heard before a Master in Chambers using affidavit evidence.</w:t>
      </w:r>
    </w:p>
    <w:p w:rsidR="00547ED0" w:rsidRPr="00782788" w:rsidRDefault="00547ED0" w:rsidP="00547ED0">
      <w:pPr>
        <w:pStyle w:val="subsection1"/>
        <w:spacing w:before="240" w:after="240" w:line="360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AFFIDAVIT EVIDENCE IS REQUIRED IF YOU WISH TO OBJECT</w:t>
      </w:r>
    </w:p>
    <w:tbl>
      <w:tblPr>
        <w:tblW w:w="963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59654C" w:rsidRPr="00E35BC1" w:rsidTr="00797AD8">
        <w:tc>
          <w:tcPr>
            <w:tcW w:w="9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4C" w:rsidRPr="00547ED0" w:rsidRDefault="0059654C" w:rsidP="00ED7E93">
            <w:pPr>
              <w:pStyle w:val="subsection1"/>
              <w:keepNext/>
              <w:keepLines/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547ED0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WARNING</w:t>
            </w:r>
          </w:p>
          <w:p w:rsidR="008F6C9B" w:rsidRPr="00E35BC1" w:rsidRDefault="008F6C9B" w:rsidP="00ED7E93">
            <w:pPr>
              <w:pStyle w:val="subsection1"/>
              <w:keepNext/>
              <w:keepLines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9654C" w:rsidRPr="004B7D5A" w:rsidRDefault="0059654C" w:rsidP="00ED7E93">
            <w:pPr>
              <w:pStyle w:val="subsection1"/>
              <w:keepNext/>
              <w:keepLines/>
              <w:spacing w:before="0"/>
              <w:ind w:left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B7D5A">
              <w:rPr>
                <w:rFonts w:ascii="Arial" w:hAnsi="Arial" w:cs="Arial"/>
                <w:sz w:val="22"/>
                <w:szCs w:val="22"/>
                <w:lang w:val="en-CA"/>
              </w:rPr>
              <w:t xml:space="preserve">If you do </w:t>
            </w:r>
            <w:r w:rsidR="00547ED0" w:rsidRPr="004B7D5A">
              <w:rPr>
                <w:rFonts w:ascii="Arial" w:hAnsi="Arial" w:cs="Arial"/>
                <w:sz w:val="22"/>
                <w:szCs w:val="22"/>
                <w:lang w:val="en-CA"/>
              </w:rPr>
              <w:t xml:space="preserve">come to court </w:t>
            </w:r>
            <w:r w:rsidRPr="004B7D5A">
              <w:rPr>
                <w:rFonts w:ascii="Arial" w:hAnsi="Arial" w:cs="Arial"/>
                <w:sz w:val="22"/>
                <w:szCs w:val="22"/>
                <w:lang w:val="en-CA"/>
              </w:rPr>
              <w:t xml:space="preserve">either in person or by your lawyer, the </w:t>
            </w:r>
            <w:r w:rsidR="00547ED0" w:rsidRPr="004B7D5A">
              <w:rPr>
                <w:rFonts w:ascii="Arial" w:hAnsi="Arial" w:cs="Arial"/>
                <w:sz w:val="22"/>
                <w:szCs w:val="22"/>
                <w:lang w:val="en-CA"/>
              </w:rPr>
              <w:t>Court</w:t>
            </w:r>
            <w:r w:rsidRPr="004B7D5A">
              <w:rPr>
                <w:rFonts w:ascii="Arial" w:hAnsi="Arial" w:cs="Arial"/>
                <w:sz w:val="22"/>
                <w:szCs w:val="22"/>
                <w:lang w:val="en-CA"/>
              </w:rPr>
              <w:t xml:space="preserve"> may give the </w:t>
            </w:r>
            <w:r w:rsidR="00547ED0" w:rsidRPr="004B7D5A">
              <w:rPr>
                <w:rFonts w:ascii="Arial" w:hAnsi="Arial" w:cs="Arial"/>
                <w:sz w:val="22"/>
                <w:szCs w:val="22"/>
                <w:lang w:val="en-CA"/>
              </w:rPr>
              <w:t xml:space="preserve">Applicant(s) what </w:t>
            </w:r>
            <w:r w:rsidR="00D74C60">
              <w:rPr>
                <w:rFonts w:ascii="Arial" w:hAnsi="Arial" w:cs="Arial"/>
                <w:sz w:val="22"/>
                <w:szCs w:val="22"/>
                <w:lang w:val="en-CA"/>
              </w:rPr>
              <w:t>is being requested, without you being there to object</w:t>
            </w:r>
            <w:r w:rsidR="00977350" w:rsidRPr="004B7D5A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  <w:r w:rsidRPr="004B7D5A">
              <w:rPr>
                <w:rFonts w:ascii="Arial" w:hAnsi="Arial" w:cs="Arial"/>
                <w:sz w:val="22"/>
                <w:szCs w:val="22"/>
                <w:lang w:val="en-CA"/>
              </w:rPr>
              <w:t xml:space="preserve"> You will be bound by</w:t>
            </w:r>
            <w:r w:rsidR="008F6C9B" w:rsidRPr="004B7D5A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547ED0" w:rsidRPr="004B7D5A">
              <w:rPr>
                <w:rFonts w:ascii="Arial" w:hAnsi="Arial" w:cs="Arial"/>
                <w:sz w:val="22"/>
                <w:szCs w:val="22"/>
                <w:lang w:val="en-CA"/>
              </w:rPr>
              <w:t>any order the Court makes</w:t>
            </w:r>
            <w:r w:rsidR="008F6C9B" w:rsidRPr="004B7D5A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  <w:r w:rsidRPr="004B7D5A">
              <w:rPr>
                <w:rFonts w:ascii="Arial" w:hAnsi="Arial" w:cs="Arial"/>
                <w:sz w:val="22"/>
                <w:szCs w:val="22"/>
                <w:lang w:val="en-CA"/>
              </w:rPr>
              <w:t xml:space="preserve"> If you want to take part in this app</w:t>
            </w:r>
            <w:r w:rsidR="00547ED0" w:rsidRPr="004B7D5A">
              <w:rPr>
                <w:rFonts w:ascii="Arial" w:hAnsi="Arial" w:cs="Arial"/>
                <w:sz w:val="22"/>
                <w:szCs w:val="22"/>
                <w:lang w:val="en-CA"/>
              </w:rPr>
              <w:t>lication</w:t>
            </w:r>
            <w:r w:rsidRPr="004B7D5A">
              <w:rPr>
                <w:rFonts w:ascii="Arial" w:hAnsi="Arial" w:cs="Arial"/>
                <w:sz w:val="22"/>
                <w:szCs w:val="22"/>
                <w:lang w:val="en-CA"/>
              </w:rPr>
              <w:t xml:space="preserve">, you or your lawyer must attend </w:t>
            </w:r>
            <w:r w:rsidR="00547ED0" w:rsidRPr="004B7D5A">
              <w:rPr>
                <w:rFonts w:ascii="Arial" w:hAnsi="Arial" w:cs="Arial"/>
                <w:sz w:val="22"/>
                <w:szCs w:val="22"/>
                <w:lang w:val="en-CA"/>
              </w:rPr>
              <w:t>in court</w:t>
            </w:r>
            <w:r w:rsidRPr="004B7D5A">
              <w:rPr>
                <w:rFonts w:ascii="Arial" w:hAnsi="Arial" w:cs="Arial"/>
                <w:sz w:val="22"/>
                <w:szCs w:val="22"/>
                <w:lang w:val="en-CA"/>
              </w:rPr>
              <w:t xml:space="preserve"> on the date and at the time as shown at the beginning of this form.</w:t>
            </w:r>
            <w:r w:rsidR="004B7D5A">
              <w:rPr>
                <w:rFonts w:ascii="Arial" w:hAnsi="Arial" w:cs="Arial"/>
                <w:sz w:val="22"/>
                <w:szCs w:val="22"/>
                <w:lang w:val="en-CA"/>
              </w:rPr>
              <w:t xml:space="preserve"> If you intend to give evidence in response to the application, you must reply by filing an affidavit or other evidence with the Court and serving a copy of that affidavit or other evidence on the Applicant(s) </w:t>
            </w:r>
            <w:r w:rsidR="00D74C60">
              <w:rPr>
                <w:rFonts w:ascii="Arial" w:hAnsi="Arial" w:cs="Arial"/>
                <w:sz w:val="22"/>
                <w:szCs w:val="22"/>
                <w:lang w:val="en-CA"/>
              </w:rPr>
              <w:t xml:space="preserve">within </w:t>
            </w:r>
            <w:r w:rsidR="004B7D5A">
              <w:rPr>
                <w:rFonts w:ascii="Arial" w:hAnsi="Arial" w:cs="Arial"/>
                <w:sz w:val="22"/>
                <w:szCs w:val="22"/>
                <w:lang w:val="en-CA"/>
              </w:rPr>
              <w:t>a reasonable time before the application is to be heard or considered.</w:t>
            </w:r>
          </w:p>
          <w:p w:rsidR="0059654C" w:rsidRPr="00E35BC1" w:rsidRDefault="0059654C" w:rsidP="00ED7E93">
            <w:pPr>
              <w:pStyle w:val="subsection1"/>
              <w:keepNext/>
              <w:keepLines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2217" w:rsidRPr="00797AD8" w:rsidRDefault="003B2217" w:rsidP="00797AD8">
      <w:pPr>
        <w:rPr>
          <w:rFonts w:ascii="Arial" w:hAnsi="Arial" w:cs="Arial"/>
          <w:sz w:val="18"/>
          <w:szCs w:val="18"/>
        </w:rPr>
      </w:pPr>
    </w:p>
    <w:sectPr w:rsidR="003B2217" w:rsidRPr="00797AD8" w:rsidSect="004105B7">
      <w:pgSz w:w="12240" w:h="15840"/>
      <w:pgMar w:top="1134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F8" w:rsidRDefault="007002F8" w:rsidP="004105B7">
      <w:pPr>
        <w:spacing w:line="240" w:lineRule="auto"/>
      </w:pPr>
      <w:r>
        <w:separator/>
      </w:r>
    </w:p>
  </w:endnote>
  <w:endnote w:type="continuationSeparator" w:id="0">
    <w:p w:rsidR="007002F8" w:rsidRDefault="007002F8" w:rsidP="00410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F8" w:rsidRDefault="007002F8" w:rsidP="004105B7">
      <w:pPr>
        <w:spacing w:line="240" w:lineRule="auto"/>
      </w:pPr>
      <w:r>
        <w:separator/>
      </w:r>
    </w:p>
  </w:footnote>
  <w:footnote w:type="continuationSeparator" w:id="0">
    <w:p w:rsidR="007002F8" w:rsidRDefault="007002F8" w:rsidP="004105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CF6"/>
    <w:multiLevelType w:val="hybridMultilevel"/>
    <w:tmpl w:val="636C907A"/>
    <w:lvl w:ilvl="0" w:tplc="1009000F">
      <w:start w:val="1"/>
      <w:numFmt w:val="decimal"/>
      <w:lvlText w:val="%1."/>
      <w:lvlJc w:val="left"/>
      <w:pPr>
        <w:ind w:left="1961" w:hanging="360"/>
      </w:pPr>
    </w:lvl>
    <w:lvl w:ilvl="1" w:tplc="10090019">
      <w:start w:val="1"/>
      <w:numFmt w:val="lowerLetter"/>
      <w:lvlText w:val="%2."/>
      <w:lvlJc w:val="left"/>
      <w:pPr>
        <w:ind w:left="2681" w:hanging="360"/>
      </w:pPr>
    </w:lvl>
    <w:lvl w:ilvl="2" w:tplc="1009001B" w:tentative="1">
      <w:start w:val="1"/>
      <w:numFmt w:val="lowerRoman"/>
      <w:lvlText w:val="%3."/>
      <w:lvlJc w:val="right"/>
      <w:pPr>
        <w:ind w:left="3401" w:hanging="180"/>
      </w:pPr>
    </w:lvl>
    <w:lvl w:ilvl="3" w:tplc="1009000F" w:tentative="1">
      <w:start w:val="1"/>
      <w:numFmt w:val="decimal"/>
      <w:lvlText w:val="%4."/>
      <w:lvlJc w:val="left"/>
      <w:pPr>
        <w:ind w:left="4121" w:hanging="360"/>
      </w:pPr>
    </w:lvl>
    <w:lvl w:ilvl="4" w:tplc="10090019" w:tentative="1">
      <w:start w:val="1"/>
      <w:numFmt w:val="lowerLetter"/>
      <w:lvlText w:val="%5."/>
      <w:lvlJc w:val="left"/>
      <w:pPr>
        <w:ind w:left="4841" w:hanging="360"/>
      </w:pPr>
    </w:lvl>
    <w:lvl w:ilvl="5" w:tplc="1009001B" w:tentative="1">
      <w:start w:val="1"/>
      <w:numFmt w:val="lowerRoman"/>
      <w:lvlText w:val="%6."/>
      <w:lvlJc w:val="right"/>
      <w:pPr>
        <w:ind w:left="5561" w:hanging="180"/>
      </w:pPr>
    </w:lvl>
    <w:lvl w:ilvl="6" w:tplc="1009000F" w:tentative="1">
      <w:start w:val="1"/>
      <w:numFmt w:val="decimal"/>
      <w:lvlText w:val="%7."/>
      <w:lvlJc w:val="left"/>
      <w:pPr>
        <w:ind w:left="6281" w:hanging="360"/>
      </w:pPr>
    </w:lvl>
    <w:lvl w:ilvl="7" w:tplc="10090019" w:tentative="1">
      <w:start w:val="1"/>
      <w:numFmt w:val="lowerLetter"/>
      <w:lvlText w:val="%8."/>
      <w:lvlJc w:val="left"/>
      <w:pPr>
        <w:ind w:left="7001" w:hanging="360"/>
      </w:pPr>
    </w:lvl>
    <w:lvl w:ilvl="8" w:tplc="1009001B" w:tentative="1">
      <w:start w:val="1"/>
      <w:numFmt w:val="lowerRoman"/>
      <w:lvlText w:val="%9."/>
      <w:lvlJc w:val="right"/>
      <w:pPr>
        <w:ind w:left="7721" w:hanging="180"/>
      </w:pPr>
    </w:lvl>
  </w:abstractNum>
  <w:abstractNum w:abstractNumId="1">
    <w:nsid w:val="7CF63102"/>
    <w:multiLevelType w:val="hybridMultilevel"/>
    <w:tmpl w:val="D01417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C"/>
    <w:rsid w:val="00014F28"/>
    <w:rsid w:val="000315A1"/>
    <w:rsid w:val="0004297D"/>
    <w:rsid w:val="000450DF"/>
    <w:rsid w:val="000773E4"/>
    <w:rsid w:val="000B4AD2"/>
    <w:rsid w:val="000F0ADA"/>
    <w:rsid w:val="00123DF0"/>
    <w:rsid w:val="00125A26"/>
    <w:rsid w:val="00131A2A"/>
    <w:rsid w:val="00151E29"/>
    <w:rsid w:val="001F7188"/>
    <w:rsid w:val="00213898"/>
    <w:rsid w:val="002E2CD1"/>
    <w:rsid w:val="00313CF1"/>
    <w:rsid w:val="003154C1"/>
    <w:rsid w:val="003440F0"/>
    <w:rsid w:val="003B2217"/>
    <w:rsid w:val="003D1ACF"/>
    <w:rsid w:val="00401889"/>
    <w:rsid w:val="00410509"/>
    <w:rsid w:val="004105B7"/>
    <w:rsid w:val="004142A6"/>
    <w:rsid w:val="00433D54"/>
    <w:rsid w:val="00463731"/>
    <w:rsid w:val="00470ED7"/>
    <w:rsid w:val="004838F8"/>
    <w:rsid w:val="004B7D5A"/>
    <w:rsid w:val="004F0752"/>
    <w:rsid w:val="00547ED0"/>
    <w:rsid w:val="005507A2"/>
    <w:rsid w:val="0059654C"/>
    <w:rsid w:val="005C3A02"/>
    <w:rsid w:val="005F78CA"/>
    <w:rsid w:val="0065700D"/>
    <w:rsid w:val="00663FC3"/>
    <w:rsid w:val="007002F8"/>
    <w:rsid w:val="00700967"/>
    <w:rsid w:val="00740C61"/>
    <w:rsid w:val="00782788"/>
    <w:rsid w:val="00797AD8"/>
    <w:rsid w:val="00813A5F"/>
    <w:rsid w:val="008D66C6"/>
    <w:rsid w:val="008D6A32"/>
    <w:rsid w:val="008E2AAC"/>
    <w:rsid w:val="008F6C9B"/>
    <w:rsid w:val="00934D4C"/>
    <w:rsid w:val="00977350"/>
    <w:rsid w:val="009E2F2F"/>
    <w:rsid w:val="00A00B8D"/>
    <w:rsid w:val="00AA1EEF"/>
    <w:rsid w:val="00AF59DB"/>
    <w:rsid w:val="00B20E70"/>
    <w:rsid w:val="00CF2ADA"/>
    <w:rsid w:val="00D1631A"/>
    <w:rsid w:val="00D622F0"/>
    <w:rsid w:val="00D74C60"/>
    <w:rsid w:val="00E325A5"/>
    <w:rsid w:val="00E35BC1"/>
    <w:rsid w:val="00ED7E93"/>
    <w:rsid w:val="00F12E28"/>
    <w:rsid w:val="00F21227"/>
    <w:rsid w:val="00F27C96"/>
    <w:rsid w:val="00FA1175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50"/>
    <w:pPr>
      <w:spacing w:line="220" w:lineRule="atLeast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654C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654C"/>
    <w:pPr>
      <w:spacing w:before="200"/>
      <w:ind w:left="1138"/>
    </w:pPr>
  </w:style>
  <w:style w:type="paragraph" w:customStyle="1" w:styleId="section1">
    <w:name w:val="section1"/>
    <w:basedOn w:val="Normal"/>
    <w:rsid w:val="0059654C"/>
    <w:pPr>
      <w:ind w:left="1138"/>
    </w:pPr>
  </w:style>
  <w:style w:type="table" w:styleId="TableGrid">
    <w:name w:val="Table Grid"/>
    <w:basedOn w:val="TableNormal"/>
    <w:uiPriority w:val="59"/>
    <w:rsid w:val="00797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D622F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4105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05B7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05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05B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A32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50"/>
    <w:pPr>
      <w:spacing w:line="220" w:lineRule="atLeast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654C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654C"/>
    <w:pPr>
      <w:spacing w:before="200"/>
      <w:ind w:left="1138"/>
    </w:pPr>
  </w:style>
  <w:style w:type="paragraph" w:customStyle="1" w:styleId="section1">
    <w:name w:val="section1"/>
    <w:basedOn w:val="Normal"/>
    <w:rsid w:val="0059654C"/>
    <w:pPr>
      <w:ind w:left="1138"/>
    </w:pPr>
  </w:style>
  <w:style w:type="table" w:styleId="TableGrid">
    <w:name w:val="Table Grid"/>
    <w:basedOn w:val="TableNormal"/>
    <w:uiPriority w:val="59"/>
    <w:rsid w:val="00797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D622F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4105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05B7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05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05B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A3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E033-8450-4D12-98FA-72051322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Downie</dc:creator>
  <cp:lastModifiedBy>VIP</cp:lastModifiedBy>
  <cp:revision>4</cp:revision>
  <cp:lastPrinted>2016-06-23T20:01:00Z</cp:lastPrinted>
  <dcterms:created xsi:type="dcterms:W3CDTF">2017-09-22T16:09:00Z</dcterms:created>
  <dcterms:modified xsi:type="dcterms:W3CDTF">2017-09-22T16:22:00Z</dcterms:modified>
</cp:coreProperties>
</file>